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1035685</wp:posOffset>
                      </wp:positionH>
                      <wp:positionV relativeFrom="paragraph">
                        <wp:posOffset>-455930</wp:posOffset>
                      </wp:positionV>
                      <wp:extent cx="1428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noFill/>
                              <a:ln w="9525">
                                <a:noFill/>
                                <a:miter lim="800000"/>
                                <a:headEnd/>
                                <a:tailEnd/>
                              </a:ln>
                            </wps:spPr>
                            <wps:txbx>
                              <w:txbxContent>
                                <w:p w:rsidR="008E481A" w:rsidRPr="00000591" w:rsidRDefault="00D46C8C">
                                  <w:pPr>
                                    <w:rPr>
                                      <w:rFonts w:ascii="メイリオ" w:eastAsia="メイリオ" w:hAnsi="メイリオ" w:cs="メイリオ"/>
                                      <w:sz w:val="21"/>
                                    </w:rPr>
                                  </w:pPr>
                                  <w:r>
                                    <w:rPr>
                                      <w:rFonts w:ascii="メイリオ" w:eastAsia="メイリオ" w:hAnsi="メイリオ" w:cs="メイリオ" w:hint="eastAsia"/>
                                      <w:sz w:val="21"/>
                                    </w:rPr>
                                    <w:t xml:space="preserve">令和　</w:t>
                                  </w:r>
                                  <w:r>
                                    <w:rPr>
                                      <w:rFonts w:ascii="メイリオ" w:eastAsia="メイリオ" w:hAnsi="メイリオ" w:cs="メイリオ"/>
                                      <w:sz w:val="21"/>
                                    </w:rPr>
                                    <w:t xml:space="preserve">　</w:t>
                                  </w:r>
                                  <w:r>
                                    <w:rPr>
                                      <w:rFonts w:ascii="メイリオ" w:eastAsia="メイリオ" w:hAnsi="メイリオ" w:cs="メイリオ" w:hint="eastAsia"/>
                                      <w:sz w:val="21"/>
                                    </w:rPr>
                                    <w:t xml:space="preserve">年　</w:t>
                                  </w:r>
                                  <w:r>
                                    <w:rPr>
                                      <w:rFonts w:ascii="メイリオ" w:eastAsia="メイリオ" w:hAnsi="メイリオ" w:cs="メイリオ"/>
                                      <w:sz w:val="21"/>
                                    </w:rPr>
                                    <w:t xml:space="preserve">　</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81.55pt;margin-top:-35.9pt;width:1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scLAIAAAY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" filled="f" stroked="f">
                      <v:textbox style="mso-fit-shape-to-text:t">
                        <w:txbxContent>
                          <w:p w:rsidR="008E481A" w:rsidRPr="00000591" w:rsidRDefault="00D46C8C">
                            <w:pPr>
                              <w:rPr>
                                <w:rFonts w:ascii="メイリオ" w:eastAsia="メイリオ" w:hAnsi="メイリオ" w:cs="メイリオ"/>
                                <w:sz w:val="21"/>
                              </w:rPr>
                            </w:pPr>
                            <w:r>
                              <w:rPr>
                                <w:rFonts w:ascii="メイリオ" w:eastAsia="メイリオ" w:hAnsi="メイリオ" w:cs="メイリオ" w:hint="eastAsia"/>
                                <w:sz w:val="21"/>
                              </w:rPr>
                              <w:t xml:space="preserve">令和　</w:t>
                            </w:r>
                            <w:r>
                              <w:rPr>
                                <w:rFonts w:ascii="メイリオ" w:eastAsia="メイリオ" w:hAnsi="メイリオ" w:cs="メイリオ"/>
                                <w:sz w:val="21"/>
                              </w:rPr>
                              <w:t xml:space="preserve">　</w:t>
                            </w:r>
                            <w:r>
                              <w:rPr>
                                <w:rFonts w:ascii="メイリオ" w:eastAsia="メイリオ" w:hAnsi="メイリオ" w:cs="メイリオ" w:hint="eastAsia"/>
                                <w:sz w:val="21"/>
                              </w:rPr>
                              <w:t xml:space="preserve">年　</w:t>
                            </w:r>
                            <w:r>
                              <w:rPr>
                                <w:rFonts w:ascii="メイリオ" w:eastAsia="メイリオ" w:hAnsi="メイリオ" w:cs="メイリオ"/>
                                <w:sz w:val="21"/>
                              </w:rPr>
                              <w:t xml:space="preserve">　</w:t>
                            </w:r>
                            <w:r w:rsidR="008E481A" w:rsidRPr="00000591">
                              <w:rPr>
                                <w:rFonts w:ascii="メイリオ" w:eastAsia="メイリオ" w:hAnsi="メイリオ" w:cs="メイリオ" w:hint="eastAsia"/>
                                <w:sz w:val="21"/>
                              </w:rPr>
                              <w:t>月</w:t>
                            </w:r>
                          </w:p>
                        </w:txbxContent>
                      </v:textbox>
                    </v:shape>
                  </w:pict>
                </mc:Fallback>
              </mc:AlternateContent>
            </w:r>
          </w:p>
        </w:tc>
        <w:bookmarkStart w:id="0" w:name="_GoBack"/>
        <w:bookmarkEnd w:id="0"/>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w:t>
            </w:r>
            <w:r w:rsidR="00F74FB1">
              <w:rPr>
                <w:rFonts w:ascii="メイリオ" w:eastAsia="メイリオ" w:hAnsi="メイリオ" w:cs="メイリオ" w:hint="eastAsia"/>
                <w:sz w:val="21"/>
              </w:rPr>
              <w:t>の所在する地域における、浸水するおそれのある高潮</w:t>
            </w:r>
            <w:r w:rsidRPr="00143291">
              <w:rPr>
                <w:rFonts w:ascii="メイリオ" w:eastAsia="メイリオ" w:hAnsi="メイリオ" w:cs="メイリオ" w:hint="eastAsia"/>
                <w:sz w:val="21"/>
              </w:rPr>
              <w:t>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35"/>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00F74FB1">
              <w:rPr>
                <w:rFonts w:ascii="メイリオ" w:eastAsia="メイリオ" w:hAnsi="メイリオ" w:cs="メイリオ" w:hint="eastAsia"/>
                <w:sz w:val="21"/>
              </w:rPr>
              <w:t>高潮</w:t>
            </w:r>
            <w:r w:rsidRPr="00143291">
              <w:rPr>
                <w:rFonts w:ascii="メイリオ" w:eastAsia="メイリオ" w:hAnsi="メイリオ" w:cs="メイリオ" w:hint="eastAsia"/>
                <w:sz w:val="21"/>
              </w:rPr>
              <w:t>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w:t>
    </w:r>
    <w:r w:rsidR="00063B59">
      <w:rPr>
        <w:rFonts w:ascii="メイリオ" w:eastAsia="メイリオ" w:hAnsi="メイリオ" w:cs="メイリオ" w:hint="eastAsia"/>
        <w:b/>
      </w:rPr>
      <w:t>（高潮</w:t>
    </w:r>
    <w:r w:rsidR="00434639">
      <w:rPr>
        <w:rFonts w:ascii="メイリオ" w:eastAsia="メイリオ" w:hAnsi="メイリオ" w:cs="メイリオ" w:hint="eastAsia"/>
        <w:b/>
      </w:rPr>
      <w:t>）</w:t>
    </w:r>
    <w:r w:rsidRPr="00143291">
      <w:rPr>
        <w:rFonts w:ascii="メイリオ" w:eastAsia="メイリオ" w:hAnsi="メイリオ" w:cs="メイリオ" w:hint="eastAsia"/>
        <w:b/>
      </w:rPr>
      <w:t>掲載事項チェックリスト</w:t>
    </w:r>
  </w:p>
  <w:p w:rsidR="00434639" w:rsidRDefault="004346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63B59"/>
    <w:rsid w:val="000B3971"/>
    <w:rsid w:val="00143291"/>
    <w:rsid w:val="00170FFE"/>
    <w:rsid w:val="00174C1B"/>
    <w:rsid w:val="00434639"/>
    <w:rsid w:val="00617D44"/>
    <w:rsid w:val="007B2AFA"/>
    <w:rsid w:val="008E481A"/>
    <w:rsid w:val="009103D7"/>
    <w:rsid w:val="009A2EDA"/>
    <w:rsid w:val="00C75944"/>
    <w:rsid w:val="00CC78ED"/>
    <w:rsid w:val="00D312A6"/>
    <w:rsid w:val="00D46C8C"/>
    <w:rsid w:val="00D72FF1"/>
    <w:rsid w:val="00D832C4"/>
    <w:rsid w:val="00DF6B7B"/>
    <w:rsid w:val="00E86A5D"/>
    <w:rsid w:val="00F74FB1"/>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7EE067"/>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E80E-2E4D-48E8-ABC2-FECD66E3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Tsuyoshi Hayashi</cp:lastModifiedBy>
  <cp:revision>15</cp:revision>
  <cp:lastPrinted>2019-05-31T02:30:00Z</cp:lastPrinted>
  <dcterms:created xsi:type="dcterms:W3CDTF">2017-02-07T01:17:00Z</dcterms:created>
  <dcterms:modified xsi:type="dcterms:W3CDTF">2025-06-09T04:50:00Z</dcterms:modified>
</cp:coreProperties>
</file>